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19" w:rsidRDefault="00811819">
      <w:pPr>
        <w:pStyle w:val="ConsPlusTitlePage"/>
      </w:pPr>
      <w:r>
        <w:t xml:space="preserve">Документ предоставлен </w:t>
      </w:r>
      <w:hyperlink r:id="rId4" w:history="1">
        <w:r>
          <w:rPr>
            <w:color w:val="0000FF"/>
          </w:rPr>
          <w:t>КонсультантПлюс</w:t>
        </w:r>
      </w:hyperlink>
      <w:r>
        <w:br/>
      </w:r>
    </w:p>
    <w:p w:rsidR="00811819" w:rsidRDefault="00811819">
      <w:pPr>
        <w:pStyle w:val="ConsPlusNormal"/>
        <w:jc w:val="both"/>
        <w:outlineLvl w:val="0"/>
      </w:pPr>
    </w:p>
    <w:p w:rsidR="00811819" w:rsidRDefault="00811819">
      <w:pPr>
        <w:pStyle w:val="ConsPlusTitle"/>
        <w:jc w:val="center"/>
        <w:outlineLvl w:val="0"/>
      </w:pPr>
      <w:r>
        <w:t>КАЛУЖСКАЯ ОБЛАСТЬ</w:t>
      </w:r>
    </w:p>
    <w:p w:rsidR="00811819" w:rsidRDefault="00811819">
      <w:pPr>
        <w:pStyle w:val="ConsPlusTitle"/>
        <w:jc w:val="center"/>
      </w:pPr>
      <w:r>
        <w:t>МИНИСТЕРСТВО КОНКУРЕНТНОЙ ПОЛИТИКИ</w:t>
      </w:r>
    </w:p>
    <w:p w:rsidR="00811819" w:rsidRDefault="00811819">
      <w:pPr>
        <w:pStyle w:val="ConsPlusTitle"/>
        <w:jc w:val="center"/>
      </w:pPr>
    </w:p>
    <w:p w:rsidR="00811819" w:rsidRDefault="00811819">
      <w:pPr>
        <w:pStyle w:val="ConsPlusTitle"/>
        <w:jc w:val="center"/>
      </w:pPr>
      <w:r>
        <w:t>ПРИКАЗ</w:t>
      </w:r>
    </w:p>
    <w:p w:rsidR="00811819" w:rsidRDefault="00811819">
      <w:pPr>
        <w:pStyle w:val="ConsPlusTitle"/>
        <w:jc w:val="center"/>
      </w:pPr>
      <w:r>
        <w:t>от 12 декабря 2016 г. N 216-РК</w:t>
      </w:r>
    </w:p>
    <w:p w:rsidR="00811819" w:rsidRDefault="00811819">
      <w:pPr>
        <w:pStyle w:val="ConsPlusTitle"/>
        <w:jc w:val="center"/>
      </w:pPr>
    </w:p>
    <w:p w:rsidR="00811819" w:rsidRDefault="00811819">
      <w:pPr>
        <w:pStyle w:val="ConsPlusTitle"/>
        <w:jc w:val="center"/>
      </w:pPr>
      <w:r>
        <w:t>ОБ УСТАНОВЛЕНИИ ПЛАТЫ ЗА ПОДКЛЮЧЕНИЕ (ТЕХНОЛОГИЧЕСКОЕ</w:t>
      </w:r>
    </w:p>
    <w:p w:rsidR="00811819" w:rsidRDefault="00811819">
      <w:pPr>
        <w:pStyle w:val="ConsPlusTitle"/>
        <w:jc w:val="center"/>
      </w:pPr>
      <w:r>
        <w:t>ПРИСОЕДИНЕНИЕ) В РАСЧЕТЕ НА ЕДИНИЦУ МОЩНОСТИ ПОДКЛЮЧАЕМОЙ</w:t>
      </w:r>
    </w:p>
    <w:p w:rsidR="00811819" w:rsidRDefault="00811819">
      <w:pPr>
        <w:pStyle w:val="ConsPlusTitle"/>
        <w:jc w:val="center"/>
      </w:pPr>
      <w:r>
        <w:t>ТЕПЛОВОЙ НАГРУЗКИ К СИСТЕМЕ ТЕПЛОСНАБЖЕНИЯ МУНИЦИПАЛЬНОГО</w:t>
      </w:r>
    </w:p>
    <w:p w:rsidR="00811819" w:rsidRDefault="00811819">
      <w:pPr>
        <w:pStyle w:val="ConsPlusTitle"/>
        <w:jc w:val="center"/>
      </w:pPr>
      <w:r>
        <w:t>ПРЕДПРИЯТИЯ ГОРОДА ОБНИНСКА КАЛУЖСКОЙ ОБЛАСТИ</w:t>
      </w:r>
    </w:p>
    <w:p w:rsidR="00811819" w:rsidRDefault="00811819">
      <w:pPr>
        <w:pStyle w:val="ConsPlusTitle"/>
        <w:jc w:val="center"/>
      </w:pPr>
      <w:r>
        <w:t>"ТЕПЛОСНАБЖЕНИЕ" НА 2017 ГОД</w:t>
      </w:r>
    </w:p>
    <w:p w:rsidR="00811819" w:rsidRDefault="00811819">
      <w:pPr>
        <w:pStyle w:val="ConsPlusNormal"/>
        <w:jc w:val="both"/>
      </w:pPr>
    </w:p>
    <w:p w:rsidR="00811819" w:rsidRDefault="00811819">
      <w:pPr>
        <w:pStyle w:val="ConsPlusNormal"/>
        <w:ind w:firstLine="540"/>
        <w:jc w:val="both"/>
      </w:pPr>
      <w:r>
        <w:t xml:space="preserve">В соответствии с Федеральным </w:t>
      </w:r>
      <w:hyperlink r:id="rId5" w:history="1">
        <w:r>
          <w:rPr>
            <w:color w:val="0000FF"/>
          </w:rPr>
          <w:t>законом</w:t>
        </w:r>
      </w:hyperlink>
      <w:r>
        <w:t xml:space="preserve"> "О теплоснабжении", </w:t>
      </w:r>
      <w:hyperlink r:id="rId6" w:history="1">
        <w:r>
          <w:rPr>
            <w:color w:val="0000FF"/>
          </w:rPr>
          <w:t>постановлением</w:t>
        </w:r>
      </w:hyperlink>
      <w:r>
        <w:t xml:space="preserve"> Правительства Российской Федерации от 22.10.2012 N 1075 "О ценообразовании в сфере теплоснабжения" (в ред. постановлений Правительства РФ от 12.08.2013 N 688, от 07.10.2013 N 886, от 20.02.2014 N 128, от 26.03.2014 N 230, от 03.06.2014 N 510, от 01.07.2014 N 603, от 05.09.2014 N 901, от 02.10.2014 N 1011, от 20.11.2014 N 1228, от 03.12.2014 N 1305, от 13.02.2015 N 120, от 21.04.2015 N 380, от 11.09.2015 N 968, от 03.10.2015 N 1055, от 24.12.2015 N 1419, от 31.12.2015 N 1530, от 29.06.2015 N 603, от 28.10.2016 N 1098, от 22.11.2016 N 1224), </w:t>
      </w:r>
      <w:hyperlink r:id="rId7" w:history="1">
        <w:r>
          <w:rPr>
            <w:color w:val="0000FF"/>
          </w:rPr>
          <w:t>приказом</w:t>
        </w:r>
      </w:hyperlink>
      <w:r>
        <w:t xml:space="preserve"> Федеральной службы по тарифам от 13.06.2013 N 760-э "Об утверждении Методических указаний по расчету регулируемых цен (тарифов) в сфере теплоснабжения" (в ред. приказа ФСТ России от 27.05.2015 N 1080-э, приказа ФАС России от 04.07.2016 N 888/16), </w:t>
      </w:r>
      <w:hyperlink r:id="rId8" w:history="1">
        <w:r>
          <w:rPr>
            <w:color w:val="0000FF"/>
          </w:rPr>
          <w:t>приказом</w:t>
        </w:r>
      </w:hyperlink>
      <w:r>
        <w:t xml:space="preserve"> Федеральной службы по тарифам от 07.06.2013 N 163 "Об утверждении Регламента открытия дел об установлении регулируемых цен (тарифов) и отмене регулирования тарифов в сфере теплоснабжения", </w:t>
      </w:r>
      <w:hyperlink r:id="rId9" w:history="1">
        <w:r>
          <w:rPr>
            <w:color w:val="0000FF"/>
          </w:rPr>
          <w:t>Положением</w:t>
        </w:r>
      </w:hyperlink>
      <w:r>
        <w:t xml:space="preserve"> о министерстве конкурентной политики Калужской области, утвержденным постановлением Правительства Калужской области от 04.04.2007 N 88 (в ред. постановлений Правительства Калужской области от 07.06.2007 N 145, от 06.09.2007 N 214, от 09.11.2007 N 285, от 22.04.2008 N 171, от 09.09.2010 N 355, от 17.01.2011 N 12, от 24.01.2012 N 20, от 02.05.2012 N 221, от 05.06.2012 N 278, от 17.12.2012 N 627, от 01.03.2013 N 112, от 02.08.2013 N 403, от 26.02.2014 N 128, от 26.03.2014 N 196, от 01.02.2016 N 62, от 18.05.2016 N 294, от 16.11.2016 N 617), на основании протокола заседания комиссии по тарифам и ценам министерства конкурентной политики Калужской области от 12.12.2016</w:t>
      </w:r>
    </w:p>
    <w:p w:rsidR="00811819" w:rsidRDefault="00811819">
      <w:pPr>
        <w:pStyle w:val="ConsPlusNormal"/>
        <w:ind w:firstLine="540"/>
        <w:jc w:val="both"/>
      </w:pPr>
      <w:r>
        <w:t>ПРИКАЗЫВАЮ:</w:t>
      </w:r>
    </w:p>
    <w:p w:rsidR="00811819" w:rsidRDefault="00811819">
      <w:pPr>
        <w:pStyle w:val="ConsPlusNormal"/>
        <w:jc w:val="both"/>
      </w:pPr>
    </w:p>
    <w:p w:rsidR="00811819" w:rsidRDefault="00811819">
      <w:pPr>
        <w:pStyle w:val="ConsPlusNormal"/>
        <w:ind w:firstLine="540"/>
        <w:jc w:val="both"/>
      </w:pPr>
      <w:r>
        <w:t xml:space="preserve">1. Установить на 2017 год </w:t>
      </w:r>
      <w:hyperlink w:anchor="P32" w:history="1">
        <w:r>
          <w:rPr>
            <w:color w:val="0000FF"/>
          </w:rPr>
          <w:t>плату</w:t>
        </w:r>
      </w:hyperlink>
      <w:r>
        <w:t xml:space="preserve"> за подключение (технологическое присоединение) в расчете на единицу мощности подключаемой тепловой нагрузки к системе теплоснабжения муниципального предприятия города Обнинска Калужской области "Теплоснабжение", в случае если подключаемая тепловая нагрузка объекта капитального строительства потребителя, в том числе застройщика, более 0,1 Гкал/ч и не превышает 1,5 Гкал/ч, согласно приложению к настоящему Приказу.</w:t>
      </w:r>
    </w:p>
    <w:p w:rsidR="00811819" w:rsidRDefault="00811819">
      <w:pPr>
        <w:pStyle w:val="ConsPlusNormal"/>
        <w:ind w:firstLine="540"/>
        <w:jc w:val="both"/>
      </w:pPr>
      <w:r>
        <w:t>2. Настоящий Приказ вступает в силу с 1 января 2017 года.</w:t>
      </w:r>
    </w:p>
    <w:p w:rsidR="00811819" w:rsidRDefault="00811819">
      <w:pPr>
        <w:pStyle w:val="ConsPlusNormal"/>
        <w:jc w:val="both"/>
      </w:pPr>
    </w:p>
    <w:p w:rsidR="00811819" w:rsidRDefault="00811819">
      <w:pPr>
        <w:pStyle w:val="ConsPlusNormal"/>
        <w:jc w:val="right"/>
      </w:pPr>
      <w:r>
        <w:t>Министр</w:t>
      </w:r>
    </w:p>
    <w:p w:rsidR="00811819" w:rsidRDefault="00811819">
      <w:pPr>
        <w:pStyle w:val="ConsPlusNormal"/>
        <w:jc w:val="right"/>
      </w:pPr>
      <w:r>
        <w:t>Н.В.Владимиров</w:t>
      </w:r>
    </w:p>
    <w:p w:rsidR="00811819" w:rsidRDefault="00811819">
      <w:pPr>
        <w:pStyle w:val="ConsPlusNormal"/>
        <w:jc w:val="both"/>
      </w:pPr>
    </w:p>
    <w:p w:rsidR="00811819" w:rsidRDefault="00811819">
      <w:pPr>
        <w:pStyle w:val="ConsPlusNormal"/>
        <w:jc w:val="both"/>
      </w:pPr>
    </w:p>
    <w:p w:rsidR="00811819" w:rsidRDefault="00811819">
      <w:pPr>
        <w:pStyle w:val="ConsPlusNormal"/>
        <w:jc w:val="both"/>
      </w:pPr>
    </w:p>
    <w:p w:rsidR="00811819" w:rsidRDefault="00811819">
      <w:pPr>
        <w:pStyle w:val="ConsPlusNormal"/>
        <w:jc w:val="both"/>
      </w:pPr>
    </w:p>
    <w:p w:rsidR="00811819" w:rsidRDefault="00811819">
      <w:pPr>
        <w:pStyle w:val="ConsPlusNormal"/>
        <w:jc w:val="both"/>
      </w:pPr>
    </w:p>
    <w:p w:rsidR="00811819" w:rsidRDefault="00811819">
      <w:pPr>
        <w:pStyle w:val="ConsPlusNormal"/>
        <w:jc w:val="right"/>
        <w:outlineLvl w:val="0"/>
      </w:pPr>
      <w:r>
        <w:t>Приложение</w:t>
      </w:r>
    </w:p>
    <w:p w:rsidR="00811819" w:rsidRDefault="00811819">
      <w:pPr>
        <w:pStyle w:val="ConsPlusNormal"/>
        <w:jc w:val="right"/>
      </w:pPr>
      <w:r>
        <w:t>к Приказу</w:t>
      </w:r>
    </w:p>
    <w:p w:rsidR="00811819" w:rsidRDefault="00811819">
      <w:pPr>
        <w:pStyle w:val="ConsPlusNormal"/>
        <w:jc w:val="right"/>
      </w:pPr>
      <w:r>
        <w:lastRenderedPageBreak/>
        <w:t>министерства конкурентной политики</w:t>
      </w:r>
    </w:p>
    <w:p w:rsidR="00811819" w:rsidRDefault="00811819">
      <w:pPr>
        <w:pStyle w:val="ConsPlusNormal"/>
        <w:jc w:val="right"/>
      </w:pPr>
      <w:r>
        <w:t>Калужской области</w:t>
      </w:r>
    </w:p>
    <w:p w:rsidR="00811819" w:rsidRDefault="00811819">
      <w:pPr>
        <w:pStyle w:val="ConsPlusNormal"/>
        <w:jc w:val="right"/>
      </w:pPr>
      <w:r>
        <w:t>от 12 декабря 2016 г. N 216-РК</w:t>
      </w:r>
    </w:p>
    <w:p w:rsidR="00811819" w:rsidRDefault="00811819">
      <w:pPr>
        <w:pStyle w:val="ConsPlusNormal"/>
        <w:jc w:val="both"/>
      </w:pPr>
    </w:p>
    <w:p w:rsidR="00811819" w:rsidRDefault="00811819">
      <w:pPr>
        <w:pStyle w:val="ConsPlusTitle"/>
        <w:jc w:val="center"/>
      </w:pPr>
      <w:bookmarkStart w:id="0" w:name="P32"/>
      <w:bookmarkEnd w:id="0"/>
      <w:r>
        <w:t>ПЛАТА</w:t>
      </w:r>
    </w:p>
    <w:p w:rsidR="00811819" w:rsidRDefault="00811819">
      <w:pPr>
        <w:pStyle w:val="ConsPlusTitle"/>
        <w:jc w:val="center"/>
      </w:pPr>
      <w:r>
        <w:t>ЗА ПОДКЛЮЧЕНИЕ (ТЕХНОЛОГИЧЕСКОЕ ПРИСОЕДИНЕНИЕ) В РАСЧЕТЕ</w:t>
      </w:r>
    </w:p>
    <w:p w:rsidR="00811819" w:rsidRDefault="00811819">
      <w:pPr>
        <w:pStyle w:val="ConsPlusTitle"/>
        <w:jc w:val="center"/>
      </w:pPr>
      <w:r>
        <w:t>НА ЕДИНИЦУ МОЩНОСТИ ПОДКЛЮЧАЕМОЙ ТЕПЛОВОЙ НАГРУЗКИ, В СЛУЧАЕ</w:t>
      </w:r>
    </w:p>
    <w:p w:rsidR="00811819" w:rsidRDefault="00811819">
      <w:pPr>
        <w:pStyle w:val="ConsPlusTitle"/>
        <w:jc w:val="center"/>
      </w:pPr>
      <w:r>
        <w:t>ЕСЛИ ПОДКЛЮЧАЕМАЯ ТЕПЛОВАЯ НАГРУЗКА ОБЪЕКТА КАПИТАЛЬНОГО</w:t>
      </w:r>
    </w:p>
    <w:p w:rsidR="00811819" w:rsidRDefault="00811819">
      <w:pPr>
        <w:pStyle w:val="ConsPlusTitle"/>
        <w:jc w:val="center"/>
      </w:pPr>
      <w:r>
        <w:t>СТРОИТЕЛЬСТВА ПОТРЕБИТЕЛЯ, В ТОМ ЧИСЛЕ ЗАСТРОЙЩИКА, БОЛЕЕ</w:t>
      </w:r>
    </w:p>
    <w:p w:rsidR="00811819" w:rsidRDefault="00811819">
      <w:pPr>
        <w:pStyle w:val="ConsPlusTitle"/>
        <w:jc w:val="center"/>
      </w:pPr>
      <w:r>
        <w:t>0,1 ГКАЛ/Ч И НЕ ПРЕВЫШАЕТ 1,5 ГКАЛ/Ч НА 2017 ГОД</w:t>
      </w:r>
    </w:p>
    <w:p w:rsidR="00811819" w:rsidRDefault="00811819">
      <w:pPr>
        <w:pStyle w:val="ConsPlusNormal"/>
        <w:jc w:val="both"/>
      </w:pPr>
    </w:p>
    <w:p w:rsidR="00811819" w:rsidRDefault="00811819">
      <w:pPr>
        <w:pStyle w:val="ConsPlusNormal"/>
        <w:jc w:val="right"/>
      </w:pPr>
      <w:r>
        <w:t>тыс. руб./Гкал/ч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1"/>
        <w:gridCol w:w="6576"/>
        <w:gridCol w:w="1531"/>
      </w:tblGrid>
      <w:tr w:rsidR="00811819">
        <w:tc>
          <w:tcPr>
            <w:tcW w:w="931" w:type="dxa"/>
          </w:tcPr>
          <w:p w:rsidR="00811819" w:rsidRDefault="00811819">
            <w:pPr>
              <w:pStyle w:val="ConsPlusNormal"/>
              <w:jc w:val="center"/>
            </w:pPr>
            <w:r>
              <w:t>N п/п</w:t>
            </w:r>
          </w:p>
        </w:tc>
        <w:tc>
          <w:tcPr>
            <w:tcW w:w="6576" w:type="dxa"/>
          </w:tcPr>
          <w:p w:rsidR="00811819" w:rsidRDefault="00811819">
            <w:pPr>
              <w:pStyle w:val="ConsPlusNormal"/>
              <w:jc w:val="center"/>
            </w:pPr>
            <w:r>
              <w:t>Наименование</w:t>
            </w:r>
          </w:p>
        </w:tc>
        <w:tc>
          <w:tcPr>
            <w:tcW w:w="1531" w:type="dxa"/>
          </w:tcPr>
          <w:p w:rsidR="00811819" w:rsidRDefault="00811819">
            <w:pPr>
              <w:pStyle w:val="ConsPlusNormal"/>
              <w:jc w:val="center"/>
            </w:pPr>
            <w:r>
              <w:t>Значение</w:t>
            </w:r>
          </w:p>
        </w:tc>
      </w:tr>
      <w:tr w:rsidR="00811819">
        <w:tc>
          <w:tcPr>
            <w:tcW w:w="931" w:type="dxa"/>
          </w:tcPr>
          <w:p w:rsidR="00811819" w:rsidRDefault="00811819">
            <w:pPr>
              <w:pStyle w:val="ConsPlusNormal"/>
              <w:jc w:val="center"/>
            </w:pPr>
            <w:r>
              <w:t>1</w:t>
            </w:r>
          </w:p>
        </w:tc>
        <w:tc>
          <w:tcPr>
            <w:tcW w:w="6576" w:type="dxa"/>
          </w:tcPr>
          <w:p w:rsidR="00811819" w:rsidRDefault="00811819">
            <w:pPr>
              <w:pStyle w:val="ConsPlusNormal"/>
              <w:jc w:val="center"/>
            </w:pPr>
            <w:r>
              <w:t>2</w:t>
            </w:r>
          </w:p>
        </w:tc>
        <w:tc>
          <w:tcPr>
            <w:tcW w:w="1531" w:type="dxa"/>
          </w:tcPr>
          <w:p w:rsidR="00811819" w:rsidRDefault="00811819">
            <w:pPr>
              <w:pStyle w:val="ConsPlusNormal"/>
              <w:jc w:val="center"/>
            </w:pPr>
            <w:r>
              <w:t>3</w:t>
            </w:r>
          </w:p>
        </w:tc>
      </w:tr>
      <w:tr w:rsidR="00811819">
        <w:tc>
          <w:tcPr>
            <w:tcW w:w="9038" w:type="dxa"/>
            <w:gridSpan w:val="3"/>
          </w:tcPr>
          <w:p w:rsidR="00811819" w:rsidRDefault="00811819">
            <w:pPr>
              <w:pStyle w:val="ConsPlusNormal"/>
            </w:pPr>
            <w:r>
              <w:t>Плата за подключение объектов заявителей, подключаемая тепловая нагрузка которых более 0,1 Гкал/час и не превышает 1,5 Гкал/ч, в том числе:</w:t>
            </w:r>
          </w:p>
        </w:tc>
      </w:tr>
      <w:tr w:rsidR="00811819">
        <w:tc>
          <w:tcPr>
            <w:tcW w:w="931" w:type="dxa"/>
          </w:tcPr>
          <w:p w:rsidR="00811819" w:rsidRDefault="00811819">
            <w:pPr>
              <w:pStyle w:val="ConsPlusNormal"/>
              <w:jc w:val="center"/>
            </w:pPr>
            <w:bookmarkStart w:id="1" w:name="P47"/>
            <w:bookmarkEnd w:id="1"/>
            <w:r>
              <w:t>1</w:t>
            </w:r>
          </w:p>
        </w:tc>
        <w:tc>
          <w:tcPr>
            <w:tcW w:w="6576" w:type="dxa"/>
          </w:tcPr>
          <w:p w:rsidR="00811819" w:rsidRDefault="00811819">
            <w:pPr>
              <w:pStyle w:val="ConsPlusNormal"/>
            </w:pPr>
            <w:r>
              <w:t>Расходы на проведение мероприятий по подключению объектов заявителей (П</w:t>
            </w:r>
            <w:r>
              <w:rPr>
                <w:vertAlign w:val="subscript"/>
              </w:rPr>
              <w:t>1</w:t>
            </w:r>
            <w:r>
              <w:t>)</w:t>
            </w:r>
          </w:p>
        </w:tc>
        <w:tc>
          <w:tcPr>
            <w:tcW w:w="1531" w:type="dxa"/>
          </w:tcPr>
          <w:p w:rsidR="00811819" w:rsidRDefault="00811819">
            <w:pPr>
              <w:pStyle w:val="ConsPlusNormal"/>
              <w:jc w:val="right"/>
            </w:pPr>
            <w:r>
              <w:t>0</w:t>
            </w:r>
          </w:p>
        </w:tc>
      </w:tr>
      <w:tr w:rsidR="00811819">
        <w:tc>
          <w:tcPr>
            <w:tcW w:w="931" w:type="dxa"/>
          </w:tcPr>
          <w:p w:rsidR="00811819" w:rsidRDefault="00811819">
            <w:pPr>
              <w:pStyle w:val="ConsPlusNormal"/>
              <w:jc w:val="center"/>
            </w:pPr>
            <w:bookmarkStart w:id="2" w:name="P50"/>
            <w:bookmarkEnd w:id="2"/>
            <w:r>
              <w:t>2</w:t>
            </w:r>
          </w:p>
        </w:tc>
        <w:tc>
          <w:tcPr>
            <w:tcW w:w="6576" w:type="dxa"/>
          </w:tcPr>
          <w:p w:rsidR="00811819" w:rsidRDefault="00811819">
            <w:pPr>
              <w:pStyle w:val="ConsPlusNormal"/>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 (П</w:t>
            </w:r>
            <w:r>
              <w:rPr>
                <w:vertAlign w:val="subscript"/>
              </w:rPr>
              <w:t>2.1</w:t>
            </w:r>
            <w:r>
              <w:t>), в том числе:</w:t>
            </w:r>
          </w:p>
        </w:tc>
        <w:tc>
          <w:tcPr>
            <w:tcW w:w="1531" w:type="dxa"/>
          </w:tcPr>
          <w:p w:rsidR="00811819" w:rsidRDefault="00811819">
            <w:pPr>
              <w:pStyle w:val="ConsPlusNormal"/>
            </w:pPr>
          </w:p>
        </w:tc>
      </w:tr>
      <w:tr w:rsidR="00811819">
        <w:tc>
          <w:tcPr>
            <w:tcW w:w="931" w:type="dxa"/>
          </w:tcPr>
          <w:p w:rsidR="00811819" w:rsidRDefault="00811819">
            <w:pPr>
              <w:pStyle w:val="ConsPlusNormal"/>
              <w:jc w:val="center"/>
            </w:pPr>
            <w:r>
              <w:t>2.1</w:t>
            </w:r>
          </w:p>
        </w:tc>
        <w:tc>
          <w:tcPr>
            <w:tcW w:w="6576" w:type="dxa"/>
          </w:tcPr>
          <w:p w:rsidR="00811819" w:rsidRDefault="00811819">
            <w:pPr>
              <w:pStyle w:val="ConsPlusNormal"/>
            </w:pPr>
            <w:r>
              <w:t>Надземная (наземная) прокладка</w:t>
            </w:r>
          </w:p>
        </w:tc>
        <w:tc>
          <w:tcPr>
            <w:tcW w:w="1531" w:type="dxa"/>
          </w:tcPr>
          <w:p w:rsidR="00811819" w:rsidRDefault="00811819">
            <w:pPr>
              <w:pStyle w:val="ConsPlusNormal"/>
              <w:jc w:val="right"/>
            </w:pPr>
            <w:r>
              <w:t>0</w:t>
            </w:r>
          </w:p>
        </w:tc>
      </w:tr>
      <w:tr w:rsidR="00811819">
        <w:tc>
          <w:tcPr>
            <w:tcW w:w="931" w:type="dxa"/>
          </w:tcPr>
          <w:p w:rsidR="00811819" w:rsidRDefault="00811819">
            <w:pPr>
              <w:pStyle w:val="ConsPlusNormal"/>
              <w:jc w:val="center"/>
            </w:pPr>
            <w:r>
              <w:t>2.1.1</w:t>
            </w:r>
          </w:p>
        </w:tc>
        <w:tc>
          <w:tcPr>
            <w:tcW w:w="6576" w:type="dxa"/>
          </w:tcPr>
          <w:p w:rsidR="00811819" w:rsidRDefault="00811819">
            <w:pPr>
              <w:pStyle w:val="ConsPlusNormal"/>
            </w:pPr>
            <w:r>
              <w:t>50 - 250 мм</w:t>
            </w:r>
          </w:p>
        </w:tc>
        <w:tc>
          <w:tcPr>
            <w:tcW w:w="1531" w:type="dxa"/>
          </w:tcPr>
          <w:p w:rsidR="00811819" w:rsidRDefault="00811819">
            <w:pPr>
              <w:pStyle w:val="ConsPlusNormal"/>
              <w:jc w:val="right"/>
            </w:pPr>
            <w:r>
              <w:t>0</w:t>
            </w:r>
          </w:p>
        </w:tc>
      </w:tr>
      <w:tr w:rsidR="00811819">
        <w:tc>
          <w:tcPr>
            <w:tcW w:w="931" w:type="dxa"/>
          </w:tcPr>
          <w:p w:rsidR="00811819" w:rsidRDefault="00811819">
            <w:pPr>
              <w:pStyle w:val="ConsPlusNormal"/>
              <w:jc w:val="center"/>
            </w:pPr>
            <w:r>
              <w:t>2.2</w:t>
            </w:r>
          </w:p>
        </w:tc>
        <w:tc>
          <w:tcPr>
            <w:tcW w:w="6576" w:type="dxa"/>
          </w:tcPr>
          <w:p w:rsidR="00811819" w:rsidRDefault="00811819">
            <w:pPr>
              <w:pStyle w:val="ConsPlusNormal"/>
            </w:pPr>
            <w:r>
              <w:t>Подземная прокладка, в том числе:</w:t>
            </w:r>
          </w:p>
        </w:tc>
        <w:tc>
          <w:tcPr>
            <w:tcW w:w="1531" w:type="dxa"/>
          </w:tcPr>
          <w:p w:rsidR="00811819" w:rsidRDefault="00811819">
            <w:pPr>
              <w:pStyle w:val="ConsPlusNormal"/>
            </w:pPr>
          </w:p>
        </w:tc>
      </w:tr>
      <w:tr w:rsidR="00811819">
        <w:tc>
          <w:tcPr>
            <w:tcW w:w="931" w:type="dxa"/>
          </w:tcPr>
          <w:p w:rsidR="00811819" w:rsidRDefault="00811819">
            <w:pPr>
              <w:pStyle w:val="ConsPlusNormal"/>
              <w:jc w:val="center"/>
            </w:pPr>
            <w:r>
              <w:t>2.2.1</w:t>
            </w:r>
          </w:p>
        </w:tc>
        <w:tc>
          <w:tcPr>
            <w:tcW w:w="6576" w:type="dxa"/>
          </w:tcPr>
          <w:p w:rsidR="00811819" w:rsidRDefault="00811819">
            <w:pPr>
              <w:pStyle w:val="ConsPlusNormal"/>
            </w:pPr>
            <w:r>
              <w:t>канальная прокладка</w:t>
            </w:r>
          </w:p>
        </w:tc>
        <w:tc>
          <w:tcPr>
            <w:tcW w:w="1531" w:type="dxa"/>
          </w:tcPr>
          <w:p w:rsidR="00811819" w:rsidRDefault="00811819">
            <w:pPr>
              <w:pStyle w:val="ConsPlusNormal"/>
              <w:jc w:val="right"/>
            </w:pPr>
            <w:r>
              <w:t>1449</w:t>
            </w:r>
          </w:p>
        </w:tc>
      </w:tr>
      <w:tr w:rsidR="00811819">
        <w:tc>
          <w:tcPr>
            <w:tcW w:w="931" w:type="dxa"/>
          </w:tcPr>
          <w:p w:rsidR="00811819" w:rsidRDefault="00811819">
            <w:pPr>
              <w:pStyle w:val="ConsPlusNormal"/>
              <w:jc w:val="center"/>
            </w:pPr>
            <w:r>
              <w:t>2.2.1.1</w:t>
            </w:r>
          </w:p>
        </w:tc>
        <w:tc>
          <w:tcPr>
            <w:tcW w:w="6576" w:type="dxa"/>
          </w:tcPr>
          <w:p w:rsidR="00811819" w:rsidRDefault="00811819">
            <w:pPr>
              <w:pStyle w:val="ConsPlusNormal"/>
            </w:pPr>
            <w:r>
              <w:t>50 - 250 мм</w:t>
            </w:r>
          </w:p>
        </w:tc>
        <w:tc>
          <w:tcPr>
            <w:tcW w:w="1531" w:type="dxa"/>
          </w:tcPr>
          <w:p w:rsidR="00811819" w:rsidRDefault="00811819">
            <w:pPr>
              <w:pStyle w:val="ConsPlusNormal"/>
              <w:jc w:val="right"/>
            </w:pPr>
            <w:r>
              <w:t>1449</w:t>
            </w:r>
          </w:p>
        </w:tc>
      </w:tr>
      <w:tr w:rsidR="00811819">
        <w:tc>
          <w:tcPr>
            <w:tcW w:w="931" w:type="dxa"/>
          </w:tcPr>
          <w:p w:rsidR="00811819" w:rsidRDefault="00811819">
            <w:pPr>
              <w:pStyle w:val="ConsPlusNormal"/>
              <w:jc w:val="center"/>
            </w:pPr>
            <w:r>
              <w:t>2.2.2</w:t>
            </w:r>
          </w:p>
        </w:tc>
        <w:tc>
          <w:tcPr>
            <w:tcW w:w="6576" w:type="dxa"/>
          </w:tcPr>
          <w:p w:rsidR="00811819" w:rsidRDefault="00811819">
            <w:pPr>
              <w:pStyle w:val="ConsPlusNormal"/>
            </w:pPr>
            <w:r>
              <w:t>бесканальная прокладка</w:t>
            </w:r>
          </w:p>
        </w:tc>
        <w:tc>
          <w:tcPr>
            <w:tcW w:w="1531" w:type="dxa"/>
          </w:tcPr>
          <w:p w:rsidR="00811819" w:rsidRDefault="00811819">
            <w:pPr>
              <w:pStyle w:val="ConsPlusNormal"/>
              <w:jc w:val="right"/>
            </w:pPr>
            <w:r>
              <w:t>5614</w:t>
            </w:r>
          </w:p>
        </w:tc>
      </w:tr>
      <w:tr w:rsidR="00811819">
        <w:tc>
          <w:tcPr>
            <w:tcW w:w="931" w:type="dxa"/>
          </w:tcPr>
          <w:p w:rsidR="00811819" w:rsidRDefault="00811819">
            <w:pPr>
              <w:pStyle w:val="ConsPlusNormal"/>
              <w:jc w:val="center"/>
            </w:pPr>
            <w:r>
              <w:t>2.2.2.1</w:t>
            </w:r>
          </w:p>
        </w:tc>
        <w:tc>
          <w:tcPr>
            <w:tcW w:w="6576" w:type="dxa"/>
          </w:tcPr>
          <w:p w:rsidR="00811819" w:rsidRDefault="00811819">
            <w:pPr>
              <w:pStyle w:val="ConsPlusNormal"/>
            </w:pPr>
            <w:r>
              <w:t>50 - 250 мм</w:t>
            </w:r>
          </w:p>
        </w:tc>
        <w:tc>
          <w:tcPr>
            <w:tcW w:w="1531" w:type="dxa"/>
          </w:tcPr>
          <w:p w:rsidR="00811819" w:rsidRDefault="00811819">
            <w:pPr>
              <w:pStyle w:val="ConsPlusNormal"/>
              <w:jc w:val="right"/>
            </w:pPr>
            <w:r>
              <w:t>5614</w:t>
            </w:r>
          </w:p>
        </w:tc>
      </w:tr>
      <w:tr w:rsidR="00811819">
        <w:tc>
          <w:tcPr>
            <w:tcW w:w="931" w:type="dxa"/>
          </w:tcPr>
          <w:p w:rsidR="00811819" w:rsidRDefault="00811819">
            <w:pPr>
              <w:pStyle w:val="ConsPlusNormal"/>
              <w:jc w:val="center"/>
            </w:pPr>
            <w:bookmarkStart w:id="3" w:name="P74"/>
            <w:bookmarkEnd w:id="3"/>
            <w:r>
              <w:t>3</w:t>
            </w:r>
          </w:p>
        </w:tc>
        <w:tc>
          <w:tcPr>
            <w:tcW w:w="6576" w:type="dxa"/>
          </w:tcPr>
          <w:p w:rsidR="00811819" w:rsidRDefault="00811819">
            <w:pPr>
              <w:pStyle w:val="ConsPlusNormal"/>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 (П</w:t>
            </w:r>
            <w:r>
              <w:rPr>
                <w:vertAlign w:val="subscript"/>
              </w:rPr>
              <w:t>2.2</w:t>
            </w:r>
            <w:r>
              <w:t>)</w:t>
            </w:r>
          </w:p>
        </w:tc>
        <w:tc>
          <w:tcPr>
            <w:tcW w:w="1531" w:type="dxa"/>
          </w:tcPr>
          <w:p w:rsidR="00811819" w:rsidRDefault="00811819">
            <w:pPr>
              <w:pStyle w:val="ConsPlusNormal"/>
              <w:jc w:val="right"/>
            </w:pPr>
            <w:r>
              <w:t>2185</w:t>
            </w:r>
          </w:p>
        </w:tc>
      </w:tr>
      <w:tr w:rsidR="00811819">
        <w:tc>
          <w:tcPr>
            <w:tcW w:w="931" w:type="dxa"/>
          </w:tcPr>
          <w:p w:rsidR="00811819" w:rsidRDefault="00811819">
            <w:pPr>
              <w:pStyle w:val="ConsPlusNormal"/>
              <w:jc w:val="center"/>
            </w:pPr>
            <w:bookmarkStart w:id="4" w:name="P77"/>
            <w:bookmarkEnd w:id="4"/>
            <w:r>
              <w:t>4</w:t>
            </w:r>
          </w:p>
        </w:tc>
        <w:tc>
          <w:tcPr>
            <w:tcW w:w="6576" w:type="dxa"/>
          </w:tcPr>
          <w:p w:rsidR="00811819" w:rsidRDefault="00811819">
            <w:pPr>
              <w:pStyle w:val="ConsPlusNormal"/>
            </w:pPr>
            <w:r>
              <w:t>Налог на прибыль</w:t>
            </w:r>
          </w:p>
        </w:tc>
        <w:tc>
          <w:tcPr>
            <w:tcW w:w="1531" w:type="dxa"/>
          </w:tcPr>
          <w:p w:rsidR="00811819" w:rsidRDefault="00811819">
            <w:pPr>
              <w:pStyle w:val="ConsPlusNormal"/>
              <w:jc w:val="right"/>
            </w:pPr>
            <w:r>
              <w:t>0</w:t>
            </w:r>
          </w:p>
        </w:tc>
      </w:tr>
    </w:tbl>
    <w:p w:rsidR="00811819" w:rsidRDefault="00811819">
      <w:pPr>
        <w:pStyle w:val="ConsPlusNormal"/>
        <w:jc w:val="both"/>
      </w:pPr>
    </w:p>
    <w:p w:rsidR="00811819" w:rsidRDefault="00811819">
      <w:pPr>
        <w:pStyle w:val="ConsPlusNormal"/>
        <w:ind w:firstLine="540"/>
        <w:jc w:val="both"/>
      </w:pPr>
      <w:r>
        <w:t>Примечание:</w:t>
      </w:r>
    </w:p>
    <w:p w:rsidR="00811819" w:rsidRDefault="00811819">
      <w:pPr>
        <w:pStyle w:val="ConsPlusNormal"/>
        <w:ind w:firstLine="540"/>
        <w:jc w:val="both"/>
      </w:pPr>
      <w:r>
        <w:t xml:space="preserve">плата за подключение объекта конкретного заявителя, подключаемая тепловая нагрузка которого более 0,1 Гкал/ч и не превышает 1,5 Гкал/ч, в расчете на 1 Гкал/ч подключаемой тепловой нагрузки определяется по мероприятиям, осуществляемым для конкретного присоединения на основании выданных теплоснабжающей организацией условий подключений, </w:t>
      </w:r>
      <w:r>
        <w:lastRenderedPageBreak/>
        <w:t>по формуле:</w:t>
      </w:r>
    </w:p>
    <w:p w:rsidR="00811819" w:rsidRDefault="00811819">
      <w:pPr>
        <w:pStyle w:val="ConsPlusNormal"/>
        <w:jc w:val="both"/>
      </w:pPr>
    </w:p>
    <w:p w:rsidR="00811819" w:rsidRDefault="00811819">
      <w:pPr>
        <w:pStyle w:val="ConsPlusNormal"/>
        <w:ind w:firstLine="540"/>
        <w:jc w:val="both"/>
      </w:pPr>
      <w:r w:rsidRPr="00DF3241">
        <w:rPr>
          <w:position w:val="-30"/>
        </w:rPr>
        <w:pict>
          <v:shape id="_x0000_i1025" style="width:264.2pt;height:30.7pt" coordsize="" o:spt="100" adj="0,,0" path="" filled="f" stroked="f">
            <v:stroke joinstyle="miter"/>
            <v:imagedata r:id="rId10" o:title="base_23589_100556_1"/>
            <v:formulas/>
            <v:path o:connecttype="segments"/>
          </v:shape>
        </w:pict>
      </w:r>
    </w:p>
    <w:p w:rsidR="00811819" w:rsidRDefault="00811819">
      <w:pPr>
        <w:pStyle w:val="ConsPlusNormal"/>
        <w:jc w:val="both"/>
      </w:pPr>
    </w:p>
    <w:p w:rsidR="00811819" w:rsidRDefault="00811819">
      <w:pPr>
        <w:pStyle w:val="ConsPlusNormal"/>
        <w:ind w:firstLine="540"/>
        <w:jc w:val="both"/>
      </w:pPr>
      <w:r>
        <w:t>где П</w:t>
      </w:r>
      <w:r>
        <w:rPr>
          <w:vertAlign w:val="subscript"/>
        </w:rPr>
        <w:t>1</w:t>
      </w:r>
      <w:r>
        <w:t xml:space="preserve"> - расходы на проведение мероприятий по подключению объектов заявителей, определенные в соответствии с </w:t>
      </w:r>
      <w:hyperlink w:anchor="P47" w:history="1">
        <w:r>
          <w:rPr>
            <w:color w:val="0000FF"/>
          </w:rPr>
          <w:t>пунктом 1</w:t>
        </w:r>
      </w:hyperlink>
      <w:r>
        <w:t xml:space="preserve"> таблицы;</w:t>
      </w:r>
    </w:p>
    <w:p w:rsidR="00811819" w:rsidRDefault="00811819">
      <w:pPr>
        <w:pStyle w:val="ConsPlusNormal"/>
        <w:ind w:firstLine="540"/>
        <w:jc w:val="both"/>
      </w:pPr>
      <w:r>
        <w:t>П</w:t>
      </w:r>
      <w:r>
        <w:rPr>
          <w:vertAlign w:val="subscript"/>
        </w:rPr>
        <w:t>2.1,i,j</w:t>
      </w:r>
      <w: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50" w:history="1">
        <w:r>
          <w:rPr>
            <w:color w:val="0000FF"/>
          </w:rPr>
          <w:t>пунктом 2</w:t>
        </w:r>
      </w:hyperlink>
      <w:r>
        <w:t xml:space="preserve"> таблицы;</w:t>
      </w:r>
    </w:p>
    <w:p w:rsidR="00811819" w:rsidRDefault="00811819">
      <w:pPr>
        <w:pStyle w:val="ConsPlusNormal"/>
        <w:ind w:firstLine="540"/>
        <w:jc w:val="both"/>
      </w:pPr>
      <w:r>
        <w:t>П</w:t>
      </w:r>
      <w:r>
        <w:rPr>
          <w:vertAlign w:val="subscript"/>
        </w:rPr>
        <w:t>2.2</w:t>
      </w:r>
      <w: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74" w:history="1">
        <w:r>
          <w:rPr>
            <w:color w:val="0000FF"/>
          </w:rPr>
          <w:t>пунктом 3</w:t>
        </w:r>
      </w:hyperlink>
      <w:r>
        <w:t xml:space="preserve"> таблицы;</w:t>
      </w:r>
    </w:p>
    <w:p w:rsidR="00811819" w:rsidRDefault="00811819">
      <w:pPr>
        <w:pStyle w:val="ConsPlusNormal"/>
        <w:ind w:firstLine="540"/>
        <w:jc w:val="both"/>
      </w:pPr>
      <w:r>
        <w:t xml:space="preserve">Н - налог на прибыль, отнесенный к плате за подключение, определенный в соответствии с </w:t>
      </w:r>
      <w:hyperlink w:anchor="P77" w:history="1">
        <w:r>
          <w:rPr>
            <w:color w:val="0000FF"/>
          </w:rPr>
          <w:t>пунктом 4</w:t>
        </w:r>
      </w:hyperlink>
      <w:r>
        <w:t xml:space="preserve"> таблицы.</w:t>
      </w:r>
    </w:p>
    <w:p w:rsidR="00811819" w:rsidRDefault="00811819">
      <w:pPr>
        <w:pStyle w:val="ConsPlusNormal"/>
        <w:jc w:val="both"/>
      </w:pPr>
    </w:p>
    <w:p w:rsidR="00811819" w:rsidRDefault="00811819">
      <w:pPr>
        <w:pStyle w:val="ConsPlusNormal"/>
        <w:jc w:val="both"/>
      </w:pPr>
    </w:p>
    <w:p w:rsidR="00811819" w:rsidRDefault="00811819">
      <w:pPr>
        <w:pStyle w:val="ConsPlusNormal"/>
        <w:pBdr>
          <w:top w:val="single" w:sz="6" w:space="0" w:color="auto"/>
        </w:pBdr>
        <w:spacing w:before="100" w:after="100"/>
        <w:jc w:val="both"/>
        <w:rPr>
          <w:sz w:val="2"/>
          <w:szCs w:val="2"/>
        </w:rPr>
      </w:pPr>
    </w:p>
    <w:p w:rsidR="004E35D3" w:rsidRDefault="004E35D3"/>
    <w:sectPr w:rsidR="004E35D3" w:rsidSect="0014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811819"/>
    <w:rsid w:val="00002F26"/>
    <w:rsid w:val="00004160"/>
    <w:rsid w:val="00007643"/>
    <w:rsid w:val="00007C7E"/>
    <w:rsid w:val="00012BC3"/>
    <w:rsid w:val="0001675F"/>
    <w:rsid w:val="00051F60"/>
    <w:rsid w:val="000523F8"/>
    <w:rsid w:val="000631E2"/>
    <w:rsid w:val="00067F4C"/>
    <w:rsid w:val="0007318A"/>
    <w:rsid w:val="00086BDE"/>
    <w:rsid w:val="000929E9"/>
    <w:rsid w:val="000B4414"/>
    <w:rsid w:val="000B60DB"/>
    <w:rsid w:val="000B7EB7"/>
    <w:rsid w:val="000C51B9"/>
    <w:rsid w:val="000D6422"/>
    <w:rsid w:val="000F4C04"/>
    <w:rsid w:val="0010110A"/>
    <w:rsid w:val="00112870"/>
    <w:rsid w:val="00114696"/>
    <w:rsid w:val="00116186"/>
    <w:rsid w:val="00121F57"/>
    <w:rsid w:val="0014757B"/>
    <w:rsid w:val="00172C97"/>
    <w:rsid w:val="00182167"/>
    <w:rsid w:val="0018232D"/>
    <w:rsid w:val="0019557E"/>
    <w:rsid w:val="0019601B"/>
    <w:rsid w:val="001A3822"/>
    <w:rsid w:val="001B6ECC"/>
    <w:rsid w:val="001C710C"/>
    <w:rsid w:val="001C7CFC"/>
    <w:rsid w:val="001D42DC"/>
    <w:rsid w:val="001D4E91"/>
    <w:rsid w:val="001D6860"/>
    <w:rsid w:val="001F0A38"/>
    <w:rsid w:val="001F28C6"/>
    <w:rsid w:val="001F31A3"/>
    <w:rsid w:val="001F37C3"/>
    <w:rsid w:val="00210C95"/>
    <w:rsid w:val="002124A0"/>
    <w:rsid w:val="002138CC"/>
    <w:rsid w:val="00230366"/>
    <w:rsid w:val="00230D55"/>
    <w:rsid w:val="002348E8"/>
    <w:rsid w:val="002359D0"/>
    <w:rsid w:val="002417BA"/>
    <w:rsid w:val="0024259D"/>
    <w:rsid w:val="00244663"/>
    <w:rsid w:val="00262B26"/>
    <w:rsid w:val="0027535E"/>
    <w:rsid w:val="002813D3"/>
    <w:rsid w:val="00290E02"/>
    <w:rsid w:val="00291263"/>
    <w:rsid w:val="00297B21"/>
    <w:rsid w:val="002A3697"/>
    <w:rsid w:val="002A7B98"/>
    <w:rsid w:val="002B61F8"/>
    <w:rsid w:val="002B7051"/>
    <w:rsid w:val="002C2991"/>
    <w:rsid w:val="002D424F"/>
    <w:rsid w:val="002E114E"/>
    <w:rsid w:val="002E34B5"/>
    <w:rsid w:val="002F238B"/>
    <w:rsid w:val="00313A84"/>
    <w:rsid w:val="003308A8"/>
    <w:rsid w:val="003353D0"/>
    <w:rsid w:val="0034736A"/>
    <w:rsid w:val="00354873"/>
    <w:rsid w:val="003556A8"/>
    <w:rsid w:val="00355BEF"/>
    <w:rsid w:val="00357394"/>
    <w:rsid w:val="003734C3"/>
    <w:rsid w:val="003818CB"/>
    <w:rsid w:val="00381F71"/>
    <w:rsid w:val="00391829"/>
    <w:rsid w:val="003A2FE3"/>
    <w:rsid w:val="003C22FF"/>
    <w:rsid w:val="003C38E4"/>
    <w:rsid w:val="003C6361"/>
    <w:rsid w:val="003D16CC"/>
    <w:rsid w:val="003E21C7"/>
    <w:rsid w:val="003E2AF2"/>
    <w:rsid w:val="003E37D9"/>
    <w:rsid w:val="003F7D13"/>
    <w:rsid w:val="00405531"/>
    <w:rsid w:val="00423919"/>
    <w:rsid w:val="0042736A"/>
    <w:rsid w:val="00432FE9"/>
    <w:rsid w:val="00456E77"/>
    <w:rsid w:val="004575FE"/>
    <w:rsid w:val="00475E18"/>
    <w:rsid w:val="004770D8"/>
    <w:rsid w:val="004829DF"/>
    <w:rsid w:val="004915D6"/>
    <w:rsid w:val="004A0E99"/>
    <w:rsid w:val="004A4087"/>
    <w:rsid w:val="004A78ED"/>
    <w:rsid w:val="004B0210"/>
    <w:rsid w:val="004B16A0"/>
    <w:rsid w:val="004B3333"/>
    <w:rsid w:val="004B4167"/>
    <w:rsid w:val="004B5690"/>
    <w:rsid w:val="004C4916"/>
    <w:rsid w:val="004D4913"/>
    <w:rsid w:val="004E35D3"/>
    <w:rsid w:val="004E6C7F"/>
    <w:rsid w:val="004E7362"/>
    <w:rsid w:val="004F57B7"/>
    <w:rsid w:val="004F5FF9"/>
    <w:rsid w:val="004F7590"/>
    <w:rsid w:val="00523DDD"/>
    <w:rsid w:val="00526D56"/>
    <w:rsid w:val="00533781"/>
    <w:rsid w:val="00545C39"/>
    <w:rsid w:val="005540EC"/>
    <w:rsid w:val="005567F9"/>
    <w:rsid w:val="005626A5"/>
    <w:rsid w:val="005715EB"/>
    <w:rsid w:val="00575166"/>
    <w:rsid w:val="005847BF"/>
    <w:rsid w:val="00590969"/>
    <w:rsid w:val="005A43DE"/>
    <w:rsid w:val="005B1262"/>
    <w:rsid w:val="005B2B50"/>
    <w:rsid w:val="005D32DB"/>
    <w:rsid w:val="005E5499"/>
    <w:rsid w:val="006008EC"/>
    <w:rsid w:val="00604978"/>
    <w:rsid w:val="00612751"/>
    <w:rsid w:val="00612991"/>
    <w:rsid w:val="00613B07"/>
    <w:rsid w:val="00615B61"/>
    <w:rsid w:val="0062305D"/>
    <w:rsid w:val="00652D92"/>
    <w:rsid w:val="00655F7C"/>
    <w:rsid w:val="00656858"/>
    <w:rsid w:val="00657B56"/>
    <w:rsid w:val="00666454"/>
    <w:rsid w:val="00667444"/>
    <w:rsid w:val="00667FF7"/>
    <w:rsid w:val="00682DFF"/>
    <w:rsid w:val="00690EA7"/>
    <w:rsid w:val="00694246"/>
    <w:rsid w:val="00694B0D"/>
    <w:rsid w:val="006A4CF8"/>
    <w:rsid w:val="006A50A4"/>
    <w:rsid w:val="006B76DB"/>
    <w:rsid w:val="006C0911"/>
    <w:rsid w:val="006C3C79"/>
    <w:rsid w:val="00704A0E"/>
    <w:rsid w:val="007173CB"/>
    <w:rsid w:val="00717933"/>
    <w:rsid w:val="00725B27"/>
    <w:rsid w:val="0075053B"/>
    <w:rsid w:val="007643AA"/>
    <w:rsid w:val="007657EC"/>
    <w:rsid w:val="00767096"/>
    <w:rsid w:val="0077204C"/>
    <w:rsid w:val="0077369C"/>
    <w:rsid w:val="0077573B"/>
    <w:rsid w:val="00777462"/>
    <w:rsid w:val="007976C2"/>
    <w:rsid w:val="007A4B30"/>
    <w:rsid w:val="007A6488"/>
    <w:rsid w:val="007B0DFC"/>
    <w:rsid w:val="007B5E13"/>
    <w:rsid w:val="007B63B4"/>
    <w:rsid w:val="007B77DD"/>
    <w:rsid w:val="007B784B"/>
    <w:rsid w:val="007C6ACB"/>
    <w:rsid w:val="007E2BF1"/>
    <w:rsid w:val="007F0582"/>
    <w:rsid w:val="008071D3"/>
    <w:rsid w:val="00811819"/>
    <w:rsid w:val="00813941"/>
    <w:rsid w:val="00837D56"/>
    <w:rsid w:val="008671C0"/>
    <w:rsid w:val="00873D2F"/>
    <w:rsid w:val="00883858"/>
    <w:rsid w:val="00885BA9"/>
    <w:rsid w:val="008A5679"/>
    <w:rsid w:val="008A7874"/>
    <w:rsid w:val="008B5CEB"/>
    <w:rsid w:val="008B6DF6"/>
    <w:rsid w:val="008C4891"/>
    <w:rsid w:val="008D7BF7"/>
    <w:rsid w:val="008E182F"/>
    <w:rsid w:val="00903A57"/>
    <w:rsid w:val="0091006D"/>
    <w:rsid w:val="00916A6F"/>
    <w:rsid w:val="009203A1"/>
    <w:rsid w:val="00930B5E"/>
    <w:rsid w:val="009356F6"/>
    <w:rsid w:val="00937666"/>
    <w:rsid w:val="009435C3"/>
    <w:rsid w:val="009436E4"/>
    <w:rsid w:val="00945BD0"/>
    <w:rsid w:val="00945EBC"/>
    <w:rsid w:val="00963590"/>
    <w:rsid w:val="009639A1"/>
    <w:rsid w:val="009641E3"/>
    <w:rsid w:val="0096791F"/>
    <w:rsid w:val="00973BE8"/>
    <w:rsid w:val="00974C13"/>
    <w:rsid w:val="009816F5"/>
    <w:rsid w:val="00994FBD"/>
    <w:rsid w:val="009953F0"/>
    <w:rsid w:val="009A1665"/>
    <w:rsid w:val="009A2DE2"/>
    <w:rsid w:val="009A3DCC"/>
    <w:rsid w:val="009A549C"/>
    <w:rsid w:val="009B2CD8"/>
    <w:rsid w:val="009B7B92"/>
    <w:rsid w:val="009B7C12"/>
    <w:rsid w:val="00A02329"/>
    <w:rsid w:val="00A0378E"/>
    <w:rsid w:val="00A0450A"/>
    <w:rsid w:val="00A142AE"/>
    <w:rsid w:val="00A147E0"/>
    <w:rsid w:val="00A20C29"/>
    <w:rsid w:val="00A21266"/>
    <w:rsid w:val="00A26743"/>
    <w:rsid w:val="00A350D8"/>
    <w:rsid w:val="00A64E02"/>
    <w:rsid w:val="00A65519"/>
    <w:rsid w:val="00A746CE"/>
    <w:rsid w:val="00A76F9C"/>
    <w:rsid w:val="00A84306"/>
    <w:rsid w:val="00A90509"/>
    <w:rsid w:val="00A913AF"/>
    <w:rsid w:val="00A9402A"/>
    <w:rsid w:val="00A9594E"/>
    <w:rsid w:val="00AA08B6"/>
    <w:rsid w:val="00AB0DDC"/>
    <w:rsid w:val="00AB28B6"/>
    <w:rsid w:val="00AB4D69"/>
    <w:rsid w:val="00AC541E"/>
    <w:rsid w:val="00AC6163"/>
    <w:rsid w:val="00AC6289"/>
    <w:rsid w:val="00AD05C5"/>
    <w:rsid w:val="00AD423F"/>
    <w:rsid w:val="00AE6506"/>
    <w:rsid w:val="00B2682D"/>
    <w:rsid w:val="00B45016"/>
    <w:rsid w:val="00B450B6"/>
    <w:rsid w:val="00B4746A"/>
    <w:rsid w:val="00B5708D"/>
    <w:rsid w:val="00B60D07"/>
    <w:rsid w:val="00B7708C"/>
    <w:rsid w:val="00B77DAA"/>
    <w:rsid w:val="00B832AF"/>
    <w:rsid w:val="00BA7C21"/>
    <w:rsid w:val="00BB5EC7"/>
    <w:rsid w:val="00BC41B4"/>
    <w:rsid w:val="00BC6CAA"/>
    <w:rsid w:val="00BD7C93"/>
    <w:rsid w:val="00BE6D4F"/>
    <w:rsid w:val="00BF4A67"/>
    <w:rsid w:val="00BF5A1D"/>
    <w:rsid w:val="00C14EB2"/>
    <w:rsid w:val="00C20F38"/>
    <w:rsid w:val="00C2429E"/>
    <w:rsid w:val="00C3190E"/>
    <w:rsid w:val="00C32957"/>
    <w:rsid w:val="00C33722"/>
    <w:rsid w:val="00C44151"/>
    <w:rsid w:val="00C468D3"/>
    <w:rsid w:val="00C5374C"/>
    <w:rsid w:val="00C646B7"/>
    <w:rsid w:val="00C661A1"/>
    <w:rsid w:val="00C70E1A"/>
    <w:rsid w:val="00C73537"/>
    <w:rsid w:val="00C768B2"/>
    <w:rsid w:val="00C90ACD"/>
    <w:rsid w:val="00CA520C"/>
    <w:rsid w:val="00CC0450"/>
    <w:rsid w:val="00CC2EC4"/>
    <w:rsid w:val="00CD087C"/>
    <w:rsid w:val="00CD1D00"/>
    <w:rsid w:val="00CD54D4"/>
    <w:rsid w:val="00CF326A"/>
    <w:rsid w:val="00D029FB"/>
    <w:rsid w:val="00D12A5B"/>
    <w:rsid w:val="00D219E7"/>
    <w:rsid w:val="00D22A0F"/>
    <w:rsid w:val="00D36584"/>
    <w:rsid w:val="00D37D87"/>
    <w:rsid w:val="00D40314"/>
    <w:rsid w:val="00D61E43"/>
    <w:rsid w:val="00D75DA8"/>
    <w:rsid w:val="00D76AD6"/>
    <w:rsid w:val="00D77A23"/>
    <w:rsid w:val="00D84999"/>
    <w:rsid w:val="00D92180"/>
    <w:rsid w:val="00DA1450"/>
    <w:rsid w:val="00DA6C0B"/>
    <w:rsid w:val="00DB36E2"/>
    <w:rsid w:val="00DB37C4"/>
    <w:rsid w:val="00DB45F5"/>
    <w:rsid w:val="00DC300B"/>
    <w:rsid w:val="00DE7D41"/>
    <w:rsid w:val="00DF0110"/>
    <w:rsid w:val="00DF0327"/>
    <w:rsid w:val="00DF3B70"/>
    <w:rsid w:val="00DF621B"/>
    <w:rsid w:val="00E04F35"/>
    <w:rsid w:val="00E12073"/>
    <w:rsid w:val="00E21E30"/>
    <w:rsid w:val="00E30E42"/>
    <w:rsid w:val="00E31C5D"/>
    <w:rsid w:val="00E41618"/>
    <w:rsid w:val="00E440F2"/>
    <w:rsid w:val="00E50BBD"/>
    <w:rsid w:val="00E50E4F"/>
    <w:rsid w:val="00E54917"/>
    <w:rsid w:val="00E61233"/>
    <w:rsid w:val="00E639E3"/>
    <w:rsid w:val="00E651ED"/>
    <w:rsid w:val="00E66731"/>
    <w:rsid w:val="00E67961"/>
    <w:rsid w:val="00E7001E"/>
    <w:rsid w:val="00E7758A"/>
    <w:rsid w:val="00E90744"/>
    <w:rsid w:val="00E943D9"/>
    <w:rsid w:val="00E97BF9"/>
    <w:rsid w:val="00EA2551"/>
    <w:rsid w:val="00EA5AF9"/>
    <w:rsid w:val="00EA74E8"/>
    <w:rsid w:val="00EC6FB6"/>
    <w:rsid w:val="00ED11BA"/>
    <w:rsid w:val="00EE61C2"/>
    <w:rsid w:val="00EE6B35"/>
    <w:rsid w:val="00F0192E"/>
    <w:rsid w:val="00F03A33"/>
    <w:rsid w:val="00F123A6"/>
    <w:rsid w:val="00F161CA"/>
    <w:rsid w:val="00F21C33"/>
    <w:rsid w:val="00F23D61"/>
    <w:rsid w:val="00F261AB"/>
    <w:rsid w:val="00F30252"/>
    <w:rsid w:val="00F3044B"/>
    <w:rsid w:val="00F35478"/>
    <w:rsid w:val="00F4089D"/>
    <w:rsid w:val="00F44A7B"/>
    <w:rsid w:val="00F636EC"/>
    <w:rsid w:val="00F63763"/>
    <w:rsid w:val="00F66D65"/>
    <w:rsid w:val="00F72C33"/>
    <w:rsid w:val="00F75D8E"/>
    <w:rsid w:val="00F83D1D"/>
    <w:rsid w:val="00F8536A"/>
    <w:rsid w:val="00F8765F"/>
    <w:rsid w:val="00F95A59"/>
    <w:rsid w:val="00F96953"/>
    <w:rsid w:val="00FA5094"/>
    <w:rsid w:val="00FA50C1"/>
    <w:rsid w:val="00FA61DA"/>
    <w:rsid w:val="00FB0BFD"/>
    <w:rsid w:val="00FB2A73"/>
    <w:rsid w:val="00FB2FE0"/>
    <w:rsid w:val="00FB655A"/>
    <w:rsid w:val="00FC1CBA"/>
    <w:rsid w:val="00FC4DB0"/>
    <w:rsid w:val="00FC5886"/>
    <w:rsid w:val="00FD087B"/>
    <w:rsid w:val="00FD4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8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18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18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DBC45D3EAE13790B9D1FC9B52BBE6968911FE7A4F271670CF1F98B1Ds2REL" TargetMode="External"/><Relationship Id="rId3" Type="http://schemas.openxmlformats.org/officeDocument/2006/relationships/webSettings" Target="webSettings.xml"/><Relationship Id="rId7" Type="http://schemas.openxmlformats.org/officeDocument/2006/relationships/hyperlink" Target="consultantplus://offline/ref=47DBC45D3EAE13790B9D1FC9B52BBE696B9514E0AAFE71670CF1F98B1Ds2R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DBC45D3EAE13790B9D1FC9B52BBE696B9413E0AAF871670CF1F98B1Ds2REL" TargetMode="External"/><Relationship Id="rId11" Type="http://schemas.openxmlformats.org/officeDocument/2006/relationships/fontTable" Target="fontTable.xml"/><Relationship Id="rId5" Type="http://schemas.openxmlformats.org/officeDocument/2006/relationships/hyperlink" Target="consultantplus://offline/ref=47DBC45D3EAE13790B9D1FC9B52BBE696B951FE5ABF271670CF1F98B1Ds2REL" TargetMode="External"/><Relationship Id="rId10"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47DBC45D3EAE13790B9D01C4A347E0676E9E48E8A2FA783656A5FFDC427E84FFE1549FDA8FD7369DFB3232EAs3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Реализация</dc:creator>
  <cp:lastModifiedBy>Реализация</cp:lastModifiedBy>
  <cp:revision>1</cp:revision>
  <dcterms:created xsi:type="dcterms:W3CDTF">2017-04-24T11:17:00Z</dcterms:created>
  <dcterms:modified xsi:type="dcterms:W3CDTF">2017-04-24T11:18:00Z</dcterms:modified>
</cp:coreProperties>
</file>